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4DF0A" w14:textId="06D7AE60" w:rsidR="009731F0" w:rsidRDefault="00AB0D49">
      <w:pPr>
        <w:spacing w:before="70" w:line="480" w:lineRule="auto"/>
        <w:ind w:left="45" w:right="673"/>
        <w:jc w:val="center"/>
        <w:rPr>
          <w:b/>
          <w:sz w:val="24"/>
        </w:rPr>
      </w:pPr>
      <w:bookmarkStart w:id="0" w:name="_Hlk234917329"/>
      <w:r>
        <w:rPr>
          <w:b/>
          <w:spacing w:val="-2"/>
          <w:sz w:val="24"/>
        </w:rPr>
        <w:t>КОНСПЕКТ</w:t>
      </w:r>
    </w:p>
    <w:p w14:paraId="01DD4493" w14:textId="77777777" w:rsidR="009731F0" w:rsidRDefault="00AB0D49">
      <w:pPr>
        <w:pStyle w:val="Heading1"/>
        <w:ind w:right="672"/>
      </w:pPr>
      <w:r>
        <w:t>НУКЛЕАРНА</w:t>
      </w:r>
      <w:r>
        <w:rPr>
          <w:spacing w:val="-9"/>
        </w:rPr>
        <w:t xml:space="preserve"> </w:t>
      </w:r>
      <w:r>
        <w:rPr>
          <w:spacing w:val="-2"/>
        </w:rPr>
        <w:t>МЕДИЦИНА</w:t>
      </w:r>
    </w:p>
    <w:p w14:paraId="209C68E3" w14:textId="77777777" w:rsidR="009731F0" w:rsidRDefault="009731F0">
      <w:pPr>
        <w:pStyle w:val="BodyText"/>
        <w:spacing w:before="148"/>
        <w:ind w:left="0"/>
        <w:jc w:val="left"/>
        <w:rPr>
          <w:b/>
        </w:rPr>
      </w:pPr>
    </w:p>
    <w:p w14:paraId="2B7089C3" w14:textId="77777777" w:rsidR="009731F0" w:rsidRDefault="00AB0D49">
      <w:pPr>
        <w:pStyle w:val="ListParagraph"/>
        <w:numPr>
          <w:ilvl w:val="0"/>
          <w:numId w:val="3"/>
        </w:numPr>
        <w:tabs>
          <w:tab w:val="left" w:pos="695"/>
        </w:tabs>
        <w:ind w:left="66" w:right="25" w:firstLine="0"/>
        <w:jc w:val="both"/>
        <w:rPr>
          <w:sz w:val="32"/>
        </w:rPr>
      </w:pPr>
      <w:r>
        <w:rPr>
          <w:sz w:val="32"/>
        </w:rPr>
        <w:t>Радиоактивност. Основни физични величини в нуклеарната медицина. Радиационна защита на персонала и пациентите.</w:t>
      </w:r>
    </w:p>
    <w:p w14:paraId="1761B849" w14:textId="77777777" w:rsidR="009731F0" w:rsidRDefault="00AB0D49">
      <w:pPr>
        <w:pStyle w:val="ListParagraph"/>
        <w:numPr>
          <w:ilvl w:val="0"/>
          <w:numId w:val="3"/>
        </w:numPr>
        <w:tabs>
          <w:tab w:val="left" w:pos="429"/>
        </w:tabs>
        <w:spacing w:before="240"/>
        <w:ind w:left="66" w:right="31" w:firstLine="0"/>
        <w:jc w:val="both"/>
        <w:rPr>
          <w:sz w:val="32"/>
        </w:rPr>
      </w:pPr>
      <w:r>
        <w:rPr>
          <w:sz w:val="32"/>
        </w:rPr>
        <w:t>Основни принципи на радионуклидната диагностика. Апаратура - планарна гама камера, SPECT - гама камера, SPECT/CT, PET/CT - основни принципи.</w:t>
      </w:r>
    </w:p>
    <w:p w14:paraId="1AE79613" w14:textId="77777777" w:rsidR="009731F0" w:rsidRDefault="00AB0D49">
      <w:pPr>
        <w:pStyle w:val="ListParagraph"/>
        <w:numPr>
          <w:ilvl w:val="0"/>
          <w:numId w:val="3"/>
        </w:numPr>
        <w:tabs>
          <w:tab w:val="left" w:pos="399"/>
        </w:tabs>
        <w:spacing w:before="240"/>
        <w:ind w:left="66" w:right="22" w:firstLine="0"/>
        <w:jc w:val="both"/>
        <w:rPr>
          <w:sz w:val="32"/>
        </w:rPr>
      </w:pPr>
      <w:r>
        <w:rPr>
          <w:sz w:val="32"/>
        </w:rPr>
        <w:t>Ради</w:t>
      </w:r>
      <w:r>
        <w:rPr>
          <w:sz w:val="32"/>
        </w:rPr>
        <w:t xml:space="preserve">онуклиди и радионуклидни генераторни системи, генератор за получаване на </w:t>
      </w:r>
      <w:r>
        <w:rPr>
          <w:sz w:val="32"/>
          <w:vertAlign w:val="superscript"/>
        </w:rPr>
        <w:t>99m</w:t>
      </w:r>
      <w:r>
        <w:rPr>
          <w:sz w:val="32"/>
        </w:rPr>
        <w:t>Tc. Еднофотонни и позитронни емитери. Радиофармацевтици за диагностика и терапия.</w:t>
      </w:r>
    </w:p>
    <w:p w14:paraId="41750A4E" w14:textId="52F976DC" w:rsidR="009731F0" w:rsidRDefault="00AB0D49">
      <w:pPr>
        <w:pStyle w:val="ListParagraph"/>
        <w:numPr>
          <w:ilvl w:val="0"/>
          <w:numId w:val="3"/>
        </w:numPr>
        <w:tabs>
          <w:tab w:val="left" w:pos="579"/>
        </w:tabs>
        <w:spacing w:before="240"/>
        <w:ind w:left="66" w:right="20" w:firstLine="0"/>
        <w:jc w:val="both"/>
        <w:rPr>
          <w:sz w:val="32"/>
        </w:rPr>
      </w:pPr>
      <w:r>
        <w:rPr>
          <w:sz w:val="32"/>
        </w:rPr>
        <w:t xml:space="preserve">Нуклеарно - медицинска диагностика на заболяванията на ендокринната система. </w:t>
      </w:r>
      <w:r>
        <w:rPr>
          <w:sz w:val="32"/>
        </w:rPr>
        <w:t>Сцинтиграфска диагностика при бенигнени заболявания и възли на щитовидната жлеза. Целотелесна сцинтиграфия със 131 І и приложение на SPECT/CT при карцином на щитовидната жлеза.</w:t>
      </w:r>
      <w:r>
        <w:rPr>
          <w:spacing w:val="40"/>
          <w:sz w:val="32"/>
        </w:rPr>
        <w:t xml:space="preserve"> </w:t>
      </w:r>
      <w:r>
        <w:rPr>
          <w:sz w:val="32"/>
        </w:rPr>
        <w:t>НМ методи за диагноза на аденом</w:t>
      </w:r>
      <w:r>
        <w:rPr>
          <w:sz w:val="32"/>
        </w:rPr>
        <w:t xml:space="preserve"> на паращитовидни жлези </w:t>
      </w:r>
      <w:r>
        <w:rPr>
          <w:sz w:val="32"/>
        </w:rPr>
        <w:t>-</w:t>
      </w:r>
      <w:r>
        <w:rPr>
          <w:spacing w:val="-10"/>
          <w:sz w:val="32"/>
        </w:rPr>
        <w:t xml:space="preserve"> </w:t>
      </w:r>
      <w:r>
        <w:rPr>
          <w:sz w:val="32"/>
        </w:rPr>
        <w:t>д</w:t>
      </w:r>
      <w:r>
        <w:rPr>
          <w:sz w:val="32"/>
        </w:rPr>
        <w:t>вуфазна</w:t>
      </w:r>
      <w:r>
        <w:rPr>
          <w:spacing w:val="-10"/>
          <w:sz w:val="32"/>
        </w:rPr>
        <w:t xml:space="preserve"> </w:t>
      </w:r>
      <w:r>
        <w:rPr>
          <w:sz w:val="32"/>
        </w:rPr>
        <w:t>и субтракционна сцинтиграфия.</w:t>
      </w:r>
    </w:p>
    <w:p w14:paraId="42191D0A" w14:textId="2B0115CB" w:rsidR="009731F0" w:rsidRDefault="00AB0D49">
      <w:pPr>
        <w:pStyle w:val="ListParagraph"/>
        <w:numPr>
          <w:ilvl w:val="0"/>
          <w:numId w:val="3"/>
        </w:numPr>
        <w:tabs>
          <w:tab w:val="left" w:pos="399"/>
        </w:tabs>
        <w:spacing w:before="240"/>
        <w:ind w:left="66" w:right="22" w:firstLine="0"/>
        <w:jc w:val="both"/>
        <w:rPr>
          <w:sz w:val="32"/>
        </w:rPr>
      </w:pPr>
      <w:r>
        <w:rPr>
          <w:sz w:val="32"/>
        </w:rPr>
        <w:t>Нуклеарно</w:t>
      </w:r>
      <w:r>
        <w:rPr>
          <w:spacing w:val="-6"/>
          <w:sz w:val="32"/>
        </w:rPr>
        <w:t xml:space="preserve"> </w:t>
      </w:r>
      <w:r>
        <w:rPr>
          <w:sz w:val="32"/>
        </w:rPr>
        <w:t>-</w:t>
      </w:r>
      <w:r>
        <w:rPr>
          <w:spacing w:val="-6"/>
          <w:sz w:val="32"/>
        </w:rPr>
        <w:t xml:space="preserve"> </w:t>
      </w:r>
      <w:r>
        <w:rPr>
          <w:sz w:val="32"/>
        </w:rPr>
        <w:t>медицинска</w:t>
      </w:r>
      <w:r>
        <w:rPr>
          <w:spacing w:val="-6"/>
          <w:sz w:val="32"/>
        </w:rPr>
        <w:t xml:space="preserve"> </w:t>
      </w:r>
      <w:r>
        <w:rPr>
          <w:sz w:val="32"/>
        </w:rPr>
        <w:t>диагностика</w:t>
      </w:r>
      <w:r>
        <w:rPr>
          <w:spacing w:val="-6"/>
          <w:sz w:val="32"/>
        </w:rPr>
        <w:t xml:space="preserve"> </w:t>
      </w:r>
      <w:r>
        <w:rPr>
          <w:sz w:val="32"/>
        </w:rPr>
        <w:t>в</w:t>
      </w:r>
      <w:r>
        <w:rPr>
          <w:spacing w:val="-6"/>
          <w:sz w:val="32"/>
        </w:rPr>
        <w:t xml:space="preserve"> </w:t>
      </w:r>
      <w:r>
        <w:rPr>
          <w:sz w:val="32"/>
        </w:rPr>
        <w:t>нефрологията</w:t>
      </w:r>
      <w:r>
        <w:rPr>
          <w:spacing w:val="-6"/>
          <w:sz w:val="32"/>
        </w:rPr>
        <w:t xml:space="preserve"> </w:t>
      </w:r>
      <w:r>
        <w:rPr>
          <w:sz w:val="32"/>
        </w:rPr>
        <w:t>и</w:t>
      </w:r>
      <w:r>
        <w:rPr>
          <w:spacing w:val="-6"/>
          <w:sz w:val="32"/>
        </w:rPr>
        <w:t xml:space="preserve"> </w:t>
      </w:r>
      <w:r>
        <w:rPr>
          <w:sz w:val="32"/>
        </w:rPr>
        <w:t>урологията. Динамична бъбречна сцинтиграфия с диуретик -</w:t>
      </w:r>
      <w:r>
        <w:rPr>
          <w:spacing w:val="-10"/>
          <w:sz w:val="32"/>
        </w:rPr>
        <w:t xml:space="preserve"> </w:t>
      </w:r>
      <w:r>
        <w:rPr>
          <w:sz w:val="32"/>
        </w:rPr>
        <w:t>радиофармацевтици, фази, видове ренографски криви, клинични приложения. Сцинтиграфия с Фурантрил, К</w:t>
      </w:r>
      <w:r>
        <w:rPr>
          <w:sz w:val="32"/>
        </w:rPr>
        <w:t xml:space="preserve">аптоприл. Кортикална </w:t>
      </w:r>
      <w:r>
        <w:rPr>
          <w:sz w:val="32"/>
        </w:rPr>
        <w:t xml:space="preserve">бъбречна сцинтиграфия - клинични приложения. </w:t>
      </w:r>
      <w:r>
        <w:rPr>
          <w:sz w:val="32"/>
        </w:rPr>
        <w:t>Приложение на SPECT/CT.</w:t>
      </w:r>
    </w:p>
    <w:p w14:paraId="587BE624" w14:textId="77777777" w:rsidR="009731F0" w:rsidRDefault="00AB0D49">
      <w:pPr>
        <w:pStyle w:val="ListParagraph"/>
        <w:numPr>
          <w:ilvl w:val="0"/>
          <w:numId w:val="3"/>
        </w:numPr>
        <w:tabs>
          <w:tab w:val="left" w:pos="579"/>
        </w:tabs>
        <w:spacing w:before="240"/>
        <w:ind w:left="66" w:right="20" w:firstLine="0"/>
        <w:jc w:val="both"/>
        <w:rPr>
          <w:sz w:val="32"/>
        </w:rPr>
      </w:pPr>
      <w:r>
        <w:rPr>
          <w:sz w:val="32"/>
        </w:rPr>
        <w:t>Нуклеарно - медицинска диагностика на сърдечно-съдовата система. Миокардна сцинтиграфия по време на стрес и покой - радиофармацевтици, протоко</w:t>
      </w:r>
      <w:r>
        <w:rPr>
          <w:sz w:val="32"/>
        </w:rPr>
        <w:t>ли на изследване, обратими и необратими</w:t>
      </w:r>
      <w:r>
        <w:rPr>
          <w:spacing w:val="-3"/>
          <w:sz w:val="32"/>
        </w:rPr>
        <w:t xml:space="preserve"> </w:t>
      </w:r>
      <w:r>
        <w:rPr>
          <w:sz w:val="32"/>
        </w:rPr>
        <w:t>перфузионни</w:t>
      </w:r>
      <w:r>
        <w:rPr>
          <w:spacing w:val="-15"/>
          <w:sz w:val="32"/>
        </w:rPr>
        <w:t xml:space="preserve"> </w:t>
      </w:r>
      <w:r>
        <w:rPr>
          <w:sz w:val="32"/>
        </w:rPr>
        <w:t>дефекти,</w:t>
      </w:r>
      <w:r>
        <w:rPr>
          <w:spacing w:val="-15"/>
          <w:sz w:val="32"/>
        </w:rPr>
        <w:t xml:space="preserve"> </w:t>
      </w:r>
      <w:r>
        <w:rPr>
          <w:sz w:val="32"/>
        </w:rPr>
        <w:t>клинично</w:t>
      </w:r>
      <w:r>
        <w:rPr>
          <w:spacing w:val="-15"/>
          <w:sz w:val="32"/>
        </w:rPr>
        <w:t xml:space="preserve"> </w:t>
      </w:r>
      <w:r>
        <w:rPr>
          <w:sz w:val="32"/>
        </w:rPr>
        <w:t>приложение.</w:t>
      </w:r>
      <w:r>
        <w:rPr>
          <w:spacing w:val="-15"/>
          <w:sz w:val="32"/>
        </w:rPr>
        <w:t xml:space="preserve"> </w:t>
      </w:r>
      <w:r>
        <w:rPr>
          <w:sz w:val="32"/>
        </w:rPr>
        <w:t xml:space="preserve">Миокардна сцинтиграфия синхронно с ЕКГ (gated SPECT). Приложение на </w:t>
      </w:r>
      <w:r>
        <w:rPr>
          <w:spacing w:val="-2"/>
          <w:sz w:val="32"/>
        </w:rPr>
        <w:t>SPECT/CT.</w:t>
      </w:r>
    </w:p>
    <w:p w14:paraId="2438E74B" w14:textId="77777777" w:rsidR="009731F0" w:rsidRDefault="00AB0D49">
      <w:pPr>
        <w:pStyle w:val="ListParagraph"/>
        <w:numPr>
          <w:ilvl w:val="0"/>
          <w:numId w:val="3"/>
        </w:numPr>
        <w:tabs>
          <w:tab w:val="left" w:pos="444"/>
        </w:tabs>
        <w:spacing w:before="240"/>
        <w:ind w:left="66" w:right="22" w:firstLine="0"/>
        <w:jc w:val="both"/>
        <w:rPr>
          <w:sz w:val="32"/>
        </w:rPr>
      </w:pPr>
      <w:r>
        <w:rPr>
          <w:sz w:val="32"/>
        </w:rPr>
        <w:t>Нуклеарно - медицинска диагностика на заболяванията на белия дроб</w:t>
      </w:r>
      <w:r>
        <w:rPr>
          <w:spacing w:val="64"/>
          <w:w w:val="150"/>
          <w:sz w:val="32"/>
        </w:rPr>
        <w:t xml:space="preserve">   </w:t>
      </w:r>
      <w:r>
        <w:rPr>
          <w:sz w:val="32"/>
        </w:rPr>
        <w:t>–</w:t>
      </w:r>
      <w:r>
        <w:rPr>
          <w:spacing w:val="64"/>
          <w:w w:val="150"/>
          <w:sz w:val="32"/>
        </w:rPr>
        <w:t xml:space="preserve">   </w:t>
      </w:r>
      <w:r>
        <w:rPr>
          <w:sz w:val="32"/>
        </w:rPr>
        <w:t>перфузионна</w:t>
      </w:r>
      <w:r>
        <w:rPr>
          <w:spacing w:val="64"/>
          <w:w w:val="150"/>
          <w:sz w:val="32"/>
        </w:rPr>
        <w:t xml:space="preserve">   </w:t>
      </w:r>
      <w:r>
        <w:rPr>
          <w:sz w:val="32"/>
        </w:rPr>
        <w:t>и</w:t>
      </w:r>
      <w:r>
        <w:rPr>
          <w:spacing w:val="64"/>
          <w:w w:val="150"/>
          <w:sz w:val="32"/>
        </w:rPr>
        <w:t xml:space="preserve">   </w:t>
      </w:r>
      <w:r>
        <w:rPr>
          <w:sz w:val="32"/>
        </w:rPr>
        <w:t>вентилационна</w:t>
      </w:r>
      <w:r>
        <w:rPr>
          <w:spacing w:val="64"/>
          <w:w w:val="150"/>
          <w:sz w:val="32"/>
        </w:rPr>
        <w:t xml:space="preserve">   </w:t>
      </w:r>
      <w:r>
        <w:rPr>
          <w:sz w:val="32"/>
        </w:rPr>
        <w:t>сцинтиграфия.</w:t>
      </w:r>
    </w:p>
    <w:p w14:paraId="360DF785" w14:textId="77777777" w:rsidR="009731F0" w:rsidRDefault="009731F0">
      <w:pPr>
        <w:pStyle w:val="ListParagraph"/>
        <w:rPr>
          <w:sz w:val="32"/>
        </w:rPr>
        <w:sectPr w:rsidR="009731F0">
          <w:type w:val="continuous"/>
          <w:pgSz w:w="12240" w:h="15840"/>
          <w:pgMar w:top="380" w:right="1080" w:bottom="280" w:left="1440" w:header="708" w:footer="708" w:gutter="0"/>
          <w:cols w:space="708"/>
        </w:sectPr>
      </w:pPr>
    </w:p>
    <w:p w14:paraId="50DD89E6" w14:textId="77777777" w:rsidR="009731F0" w:rsidRDefault="00AB0D49">
      <w:pPr>
        <w:pStyle w:val="BodyText"/>
        <w:spacing w:before="70"/>
        <w:jc w:val="left"/>
      </w:pPr>
      <w:r>
        <w:lastRenderedPageBreak/>
        <w:t>Радиофармацевтици.</w:t>
      </w:r>
      <w:r>
        <w:rPr>
          <w:spacing w:val="40"/>
        </w:rPr>
        <w:t xml:space="preserve"> </w:t>
      </w:r>
      <w:r>
        <w:t>Сцинтиграфскa</w:t>
      </w:r>
      <w:r>
        <w:rPr>
          <w:spacing w:val="40"/>
        </w:rPr>
        <w:t xml:space="preserve"> </w:t>
      </w:r>
      <w:r>
        <w:t>диагностика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БТЕ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ДД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други белодробни заболявания.</w:t>
      </w:r>
      <w:r>
        <w:rPr>
          <w:spacing w:val="40"/>
        </w:rPr>
        <w:t xml:space="preserve"> </w:t>
      </w:r>
      <w:r>
        <w:t>Приложение на SPECT/CT.</w:t>
      </w:r>
    </w:p>
    <w:p w14:paraId="5E001B90" w14:textId="77777777" w:rsidR="009731F0" w:rsidRDefault="00AB0D49">
      <w:pPr>
        <w:pStyle w:val="ListParagraph"/>
        <w:numPr>
          <w:ilvl w:val="0"/>
          <w:numId w:val="3"/>
        </w:numPr>
        <w:tabs>
          <w:tab w:val="left" w:pos="414"/>
        </w:tabs>
        <w:spacing w:before="240"/>
        <w:ind w:left="66" w:right="27" w:firstLine="0"/>
        <w:jc w:val="both"/>
        <w:rPr>
          <w:sz w:val="32"/>
        </w:rPr>
      </w:pPr>
      <w:r>
        <w:rPr>
          <w:sz w:val="32"/>
        </w:rPr>
        <w:t>Нуклеарно - медицинска диагностика на заболяванията на костите и ставите. Методи – динамична, статична - прицелна и целотелесна сцинтиграфия. Приложение при метастатична костна болест и други злокачествени и доброкачествени заболява</w:t>
      </w:r>
      <w:r>
        <w:rPr>
          <w:sz w:val="32"/>
        </w:rPr>
        <w:t>ния на костната система. Приложение на SPECT/CT.</w:t>
      </w:r>
    </w:p>
    <w:p w14:paraId="452E4971" w14:textId="5EB0E1A3" w:rsidR="009731F0" w:rsidRDefault="00AB0D49">
      <w:pPr>
        <w:pStyle w:val="ListParagraph"/>
        <w:numPr>
          <w:ilvl w:val="0"/>
          <w:numId w:val="3"/>
        </w:numPr>
        <w:tabs>
          <w:tab w:val="left" w:pos="414"/>
        </w:tabs>
        <w:spacing w:before="240"/>
        <w:ind w:left="66" w:right="21" w:firstLine="0"/>
        <w:jc w:val="both"/>
        <w:rPr>
          <w:sz w:val="32"/>
        </w:rPr>
      </w:pPr>
      <w:r>
        <w:rPr>
          <w:sz w:val="32"/>
        </w:rPr>
        <w:t>Нуклеарно - медицинска диагностика на заболяванията на главния мозък. Перфузионна мозъчна сцинтиграфия. Туморотропна сцинтиграфия. Рецепторна сцинтиграфия</w:t>
      </w:r>
      <w:r>
        <w:rPr>
          <w:sz w:val="32"/>
        </w:rPr>
        <w:t xml:space="preserve"> при болест на Паркинсон. Изследвания при епил</w:t>
      </w:r>
      <w:r>
        <w:rPr>
          <w:sz w:val="32"/>
        </w:rPr>
        <w:t>епсия. Приложение на</w:t>
      </w:r>
      <w:r>
        <w:rPr>
          <w:spacing w:val="-6"/>
          <w:sz w:val="32"/>
        </w:rPr>
        <w:t xml:space="preserve"> </w:t>
      </w:r>
      <w:r>
        <w:rPr>
          <w:sz w:val="32"/>
        </w:rPr>
        <w:t>SPECT/CT</w:t>
      </w:r>
      <w:r>
        <w:rPr>
          <w:spacing w:val="-6"/>
          <w:sz w:val="32"/>
        </w:rPr>
        <w:t xml:space="preserve"> </w:t>
      </w:r>
      <w:r>
        <w:rPr>
          <w:sz w:val="32"/>
        </w:rPr>
        <w:t xml:space="preserve">и </w:t>
      </w:r>
      <w:r>
        <w:rPr>
          <w:spacing w:val="-2"/>
          <w:sz w:val="32"/>
        </w:rPr>
        <w:t>PET/CT.</w:t>
      </w:r>
    </w:p>
    <w:p w14:paraId="1BC43DA2" w14:textId="77777777" w:rsidR="009731F0" w:rsidRDefault="00AB0D49">
      <w:pPr>
        <w:pStyle w:val="ListParagraph"/>
        <w:numPr>
          <w:ilvl w:val="0"/>
          <w:numId w:val="3"/>
        </w:numPr>
        <w:tabs>
          <w:tab w:val="left" w:pos="738"/>
        </w:tabs>
        <w:spacing w:before="240"/>
        <w:ind w:left="66" w:right="20" w:firstLine="0"/>
        <w:jc w:val="both"/>
        <w:rPr>
          <w:sz w:val="32"/>
        </w:rPr>
      </w:pPr>
      <w:r>
        <w:rPr>
          <w:sz w:val="32"/>
        </w:rPr>
        <w:t>Нуклеарно - медицинска диагностика на заболяванията в онкологията. Визуализиране на туморите с неспецифични, специфичния и рецепторни туморотропни радиофармацевтици. 99mTc-MIBI,</w:t>
      </w:r>
      <w:r>
        <w:rPr>
          <w:spacing w:val="77"/>
          <w:w w:val="150"/>
          <w:sz w:val="32"/>
        </w:rPr>
        <w:t xml:space="preserve">   </w:t>
      </w:r>
      <w:r>
        <w:rPr>
          <w:sz w:val="32"/>
        </w:rPr>
        <w:t>99mTc-Tektrotyd,</w:t>
      </w:r>
      <w:r>
        <w:rPr>
          <w:spacing w:val="78"/>
          <w:w w:val="150"/>
          <w:sz w:val="32"/>
        </w:rPr>
        <w:t xml:space="preserve">   </w:t>
      </w:r>
      <w:r>
        <w:rPr>
          <w:sz w:val="32"/>
        </w:rPr>
        <w:t>18F-FDG,</w:t>
      </w:r>
      <w:r>
        <w:rPr>
          <w:spacing w:val="78"/>
          <w:w w:val="150"/>
          <w:sz w:val="32"/>
        </w:rPr>
        <w:t xml:space="preserve">   </w:t>
      </w:r>
      <w:r>
        <w:rPr>
          <w:sz w:val="32"/>
        </w:rPr>
        <w:t>68Ga-</w:t>
      </w:r>
      <w:r>
        <w:rPr>
          <w:spacing w:val="73"/>
          <w:w w:val="150"/>
          <w:sz w:val="32"/>
        </w:rPr>
        <w:t xml:space="preserve"> </w:t>
      </w:r>
      <w:r>
        <w:rPr>
          <w:spacing w:val="73"/>
          <w:w w:val="150"/>
          <w:sz w:val="32"/>
        </w:rPr>
        <w:t xml:space="preserve">  </w:t>
      </w:r>
      <w:r>
        <w:rPr>
          <w:spacing w:val="-2"/>
          <w:sz w:val="32"/>
        </w:rPr>
        <w:t>PSMA,</w:t>
      </w:r>
    </w:p>
    <w:p w14:paraId="527D3190" w14:textId="77777777" w:rsidR="009731F0" w:rsidRDefault="00AB0D49">
      <w:pPr>
        <w:pStyle w:val="BodyText"/>
        <w:tabs>
          <w:tab w:val="left" w:pos="2692"/>
          <w:tab w:val="left" w:pos="3214"/>
          <w:tab w:val="left" w:pos="3966"/>
          <w:tab w:val="left" w:pos="6313"/>
          <w:tab w:val="left" w:pos="6976"/>
          <w:tab w:val="left" w:pos="8409"/>
          <w:tab w:val="left" w:pos="9525"/>
        </w:tabs>
        <w:ind w:right="21"/>
        <w:jc w:val="left"/>
      </w:pPr>
      <w:r>
        <w:rPr>
          <w:spacing w:val="-2"/>
        </w:rPr>
        <w:t>68Ga-DOTATOC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>др.</w:t>
      </w:r>
      <w:r>
        <w:tab/>
      </w:r>
      <w:r>
        <w:rPr>
          <w:spacing w:val="-2"/>
        </w:rPr>
        <w:t>Сцинтиграфия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лимфни</w:t>
      </w:r>
      <w:r>
        <w:tab/>
      </w:r>
      <w:r>
        <w:rPr>
          <w:spacing w:val="-2"/>
        </w:rPr>
        <w:t>възли</w:t>
      </w:r>
      <w:r>
        <w:tab/>
      </w:r>
      <w:r>
        <w:rPr>
          <w:spacing w:val="-10"/>
        </w:rPr>
        <w:t xml:space="preserve">и </w:t>
      </w:r>
      <w:r>
        <w:t>визуализиране на сентинелни лимфни възли.</w:t>
      </w:r>
    </w:p>
    <w:p w14:paraId="27E3469E" w14:textId="77777777" w:rsidR="009731F0" w:rsidRDefault="00AB0D49">
      <w:pPr>
        <w:pStyle w:val="ListParagraph"/>
        <w:numPr>
          <w:ilvl w:val="0"/>
          <w:numId w:val="3"/>
        </w:numPr>
        <w:tabs>
          <w:tab w:val="left" w:pos="882"/>
        </w:tabs>
        <w:spacing w:before="240"/>
        <w:ind w:left="66" w:right="108" w:firstLine="0"/>
        <w:jc w:val="both"/>
        <w:rPr>
          <w:sz w:val="32"/>
        </w:rPr>
      </w:pPr>
      <w:r>
        <w:rPr>
          <w:sz w:val="32"/>
        </w:rPr>
        <w:t xml:space="preserve">PET/CT – принципи, радиофармацевтици, показания и </w:t>
      </w:r>
      <w:r>
        <w:rPr>
          <w:spacing w:val="-2"/>
          <w:sz w:val="32"/>
        </w:rPr>
        <w:t>изследвания.</w:t>
      </w:r>
    </w:p>
    <w:p w14:paraId="5518E50D" w14:textId="77777777" w:rsidR="009731F0" w:rsidRDefault="00AB0D49">
      <w:pPr>
        <w:pStyle w:val="ListParagraph"/>
        <w:numPr>
          <w:ilvl w:val="0"/>
          <w:numId w:val="3"/>
        </w:numPr>
        <w:tabs>
          <w:tab w:val="left" w:pos="858"/>
        </w:tabs>
        <w:spacing w:before="240"/>
        <w:ind w:left="66" w:right="30" w:firstLine="0"/>
        <w:jc w:val="both"/>
        <w:rPr>
          <w:sz w:val="32"/>
        </w:rPr>
      </w:pPr>
      <w:r>
        <w:rPr>
          <w:sz w:val="32"/>
        </w:rPr>
        <w:t>Приложение на 18F-FDG РЕТ-СТ при неонкологични заболявания- неврология, кардиология и неясни фебрилни състояния.</w:t>
      </w:r>
    </w:p>
    <w:p w14:paraId="371812C4" w14:textId="77777777" w:rsidR="009731F0" w:rsidRDefault="00AB0D49">
      <w:pPr>
        <w:pStyle w:val="ListParagraph"/>
        <w:numPr>
          <w:ilvl w:val="0"/>
          <w:numId w:val="3"/>
        </w:numPr>
        <w:tabs>
          <w:tab w:val="left" w:pos="813"/>
        </w:tabs>
        <w:spacing w:before="240"/>
        <w:ind w:left="66" w:right="24" w:firstLine="0"/>
        <w:jc w:val="both"/>
        <w:rPr>
          <w:sz w:val="32"/>
        </w:rPr>
      </w:pPr>
      <w:r>
        <w:rPr>
          <w:sz w:val="32"/>
        </w:rPr>
        <w:t>Приложение на 18F-FDG РЕТ-СТ при диагностика на онкологични заболявания -</w:t>
      </w:r>
      <w:r>
        <w:rPr>
          <w:spacing w:val="40"/>
          <w:sz w:val="32"/>
        </w:rPr>
        <w:t xml:space="preserve"> </w:t>
      </w:r>
      <w:r>
        <w:rPr>
          <w:sz w:val="32"/>
        </w:rPr>
        <w:t>стадиране, оценка на ефекта от</w:t>
      </w:r>
      <w:r>
        <w:rPr>
          <w:spacing w:val="-7"/>
          <w:sz w:val="32"/>
        </w:rPr>
        <w:t xml:space="preserve"> </w:t>
      </w:r>
      <w:r>
        <w:rPr>
          <w:sz w:val="32"/>
        </w:rPr>
        <w:t>лечение</w:t>
      </w:r>
      <w:r>
        <w:rPr>
          <w:spacing w:val="-7"/>
          <w:sz w:val="32"/>
        </w:rPr>
        <w:t xml:space="preserve"> </w:t>
      </w:r>
      <w:r>
        <w:rPr>
          <w:sz w:val="32"/>
        </w:rPr>
        <w:t xml:space="preserve">и </w:t>
      </w:r>
      <w:r>
        <w:rPr>
          <w:spacing w:val="-2"/>
          <w:sz w:val="32"/>
        </w:rPr>
        <w:t>прогнозата.</w:t>
      </w:r>
    </w:p>
    <w:p w14:paraId="3194CA63" w14:textId="77777777" w:rsidR="009731F0" w:rsidRDefault="00AB0D49">
      <w:pPr>
        <w:pStyle w:val="ListParagraph"/>
        <w:numPr>
          <w:ilvl w:val="0"/>
          <w:numId w:val="3"/>
        </w:numPr>
        <w:tabs>
          <w:tab w:val="left" w:pos="618"/>
        </w:tabs>
        <w:spacing w:before="240"/>
        <w:ind w:left="66" w:right="25" w:firstLine="0"/>
        <w:jc w:val="both"/>
        <w:rPr>
          <w:sz w:val="32"/>
        </w:rPr>
      </w:pPr>
      <w:r>
        <w:rPr>
          <w:sz w:val="32"/>
        </w:rPr>
        <w:t>Приложение на 68Ga РЕТ-СТ при диагностика на карцином на простататa и</w:t>
      </w:r>
      <w:r>
        <w:rPr>
          <w:spacing w:val="-6"/>
          <w:sz w:val="32"/>
        </w:rPr>
        <w:t xml:space="preserve"> </w:t>
      </w:r>
      <w:r>
        <w:rPr>
          <w:sz w:val="32"/>
        </w:rPr>
        <w:t>невроендокринните</w:t>
      </w:r>
      <w:r>
        <w:rPr>
          <w:spacing w:val="-6"/>
          <w:sz w:val="32"/>
        </w:rPr>
        <w:t xml:space="preserve"> </w:t>
      </w:r>
      <w:r>
        <w:rPr>
          <w:sz w:val="32"/>
        </w:rPr>
        <w:t>тумори,</w:t>
      </w:r>
      <w:r>
        <w:rPr>
          <w:spacing w:val="-6"/>
          <w:sz w:val="32"/>
        </w:rPr>
        <w:t xml:space="preserve"> </w:t>
      </w:r>
      <w:r>
        <w:rPr>
          <w:sz w:val="32"/>
        </w:rPr>
        <w:t>стадиране,</w:t>
      </w:r>
      <w:r>
        <w:rPr>
          <w:spacing w:val="-6"/>
          <w:sz w:val="32"/>
        </w:rPr>
        <w:t xml:space="preserve"> </w:t>
      </w:r>
      <w:r>
        <w:rPr>
          <w:sz w:val="32"/>
        </w:rPr>
        <w:t>оценка</w:t>
      </w:r>
      <w:r>
        <w:rPr>
          <w:spacing w:val="-6"/>
          <w:sz w:val="32"/>
        </w:rPr>
        <w:t xml:space="preserve"> </w:t>
      </w:r>
      <w:r>
        <w:rPr>
          <w:sz w:val="32"/>
        </w:rPr>
        <w:t>ефекта</w:t>
      </w:r>
      <w:r>
        <w:rPr>
          <w:spacing w:val="-6"/>
          <w:sz w:val="32"/>
        </w:rPr>
        <w:t xml:space="preserve"> </w:t>
      </w:r>
      <w:r>
        <w:rPr>
          <w:sz w:val="32"/>
        </w:rPr>
        <w:t>от лечен</w:t>
      </w:r>
      <w:r>
        <w:rPr>
          <w:sz w:val="32"/>
        </w:rPr>
        <w:t>ие и прогнозата.</w:t>
      </w:r>
    </w:p>
    <w:p w14:paraId="342501FF" w14:textId="77777777" w:rsidR="009731F0" w:rsidRDefault="00AB0D49">
      <w:pPr>
        <w:pStyle w:val="ListParagraph"/>
        <w:numPr>
          <w:ilvl w:val="0"/>
          <w:numId w:val="3"/>
        </w:numPr>
        <w:tabs>
          <w:tab w:val="left" w:pos="588"/>
        </w:tabs>
        <w:spacing w:before="240"/>
        <w:ind w:left="66" w:right="32" w:firstLine="0"/>
        <w:jc w:val="both"/>
        <w:rPr>
          <w:sz w:val="32"/>
        </w:rPr>
      </w:pPr>
      <w:r>
        <w:rPr>
          <w:sz w:val="32"/>
        </w:rPr>
        <w:t>Лечение с радиофармацевтици (метаболитна терапия). Принципи и приложение.</w:t>
      </w:r>
    </w:p>
    <w:bookmarkEnd w:id="0"/>
    <w:p w14:paraId="4F5DB7E7" w14:textId="04FBF284" w:rsidR="009731F0" w:rsidRDefault="009731F0" w:rsidP="00AB0D49">
      <w:pPr>
        <w:pStyle w:val="Heading1"/>
        <w:spacing w:before="70"/>
      </w:pPr>
    </w:p>
    <w:sectPr w:rsidR="009731F0">
      <w:pgSz w:w="12240" w:h="15840"/>
      <w:pgMar w:top="380" w:right="1080" w:bottom="28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F1EC3"/>
    <w:multiLevelType w:val="hybridMultilevel"/>
    <w:tmpl w:val="B336CE1A"/>
    <w:lvl w:ilvl="0" w:tplc="36B06EF8">
      <w:start w:val="1"/>
      <w:numFmt w:val="decimal"/>
      <w:lvlText w:val="%1."/>
      <w:lvlJc w:val="left"/>
      <w:pPr>
        <w:ind w:left="67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32"/>
        <w:szCs w:val="32"/>
        <w:lang w:val="bg-BG" w:eastAsia="en-US" w:bidi="ar-SA"/>
      </w:rPr>
    </w:lvl>
    <w:lvl w:ilvl="1" w:tplc="BE08D622">
      <w:numFmt w:val="bullet"/>
      <w:lvlText w:val="•"/>
      <w:lvlJc w:val="left"/>
      <w:pPr>
        <w:ind w:left="1026" w:hanging="720"/>
      </w:pPr>
      <w:rPr>
        <w:rFonts w:hint="default"/>
        <w:lang w:val="bg-BG" w:eastAsia="en-US" w:bidi="ar-SA"/>
      </w:rPr>
    </w:lvl>
    <w:lvl w:ilvl="2" w:tplc="566CE186">
      <w:numFmt w:val="bullet"/>
      <w:lvlText w:val="•"/>
      <w:lvlJc w:val="left"/>
      <w:pPr>
        <w:ind w:left="1992" w:hanging="720"/>
      </w:pPr>
      <w:rPr>
        <w:rFonts w:hint="default"/>
        <w:lang w:val="bg-BG" w:eastAsia="en-US" w:bidi="ar-SA"/>
      </w:rPr>
    </w:lvl>
    <w:lvl w:ilvl="3" w:tplc="5D60C2FC">
      <w:numFmt w:val="bullet"/>
      <w:lvlText w:val="•"/>
      <w:lvlJc w:val="left"/>
      <w:pPr>
        <w:ind w:left="2958" w:hanging="720"/>
      </w:pPr>
      <w:rPr>
        <w:rFonts w:hint="default"/>
        <w:lang w:val="bg-BG" w:eastAsia="en-US" w:bidi="ar-SA"/>
      </w:rPr>
    </w:lvl>
    <w:lvl w:ilvl="4" w:tplc="EAAA11E2">
      <w:numFmt w:val="bullet"/>
      <w:lvlText w:val="•"/>
      <w:lvlJc w:val="left"/>
      <w:pPr>
        <w:ind w:left="3924" w:hanging="720"/>
      </w:pPr>
      <w:rPr>
        <w:rFonts w:hint="default"/>
        <w:lang w:val="bg-BG" w:eastAsia="en-US" w:bidi="ar-SA"/>
      </w:rPr>
    </w:lvl>
    <w:lvl w:ilvl="5" w:tplc="558AFAB6">
      <w:numFmt w:val="bullet"/>
      <w:lvlText w:val="•"/>
      <w:lvlJc w:val="left"/>
      <w:pPr>
        <w:ind w:left="4890" w:hanging="720"/>
      </w:pPr>
      <w:rPr>
        <w:rFonts w:hint="default"/>
        <w:lang w:val="bg-BG" w:eastAsia="en-US" w:bidi="ar-SA"/>
      </w:rPr>
    </w:lvl>
    <w:lvl w:ilvl="6" w:tplc="DF823CFE">
      <w:numFmt w:val="bullet"/>
      <w:lvlText w:val="•"/>
      <w:lvlJc w:val="left"/>
      <w:pPr>
        <w:ind w:left="5856" w:hanging="720"/>
      </w:pPr>
      <w:rPr>
        <w:rFonts w:hint="default"/>
        <w:lang w:val="bg-BG" w:eastAsia="en-US" w:bidi="ar-SA"/>
      </w:rPr>
    </w:lvl>
    <w:lvl w:ilvl="7" w:tplc="6EBA67B2">
      <w:numFmt w:val="bullet"/>
      <w:lvlText w:val="•"/>
      <w:lvlJc w:val="left"/>
      <w:pPr>
        <w:ind w:left="6822" w:hanging="720"/>
      </w:pPr>
      <w:rPr>
        <w:rFonts w:hint="default"/>
        <w:lang w:val="bg-BG" w:eastAsia="en-US" w:bidi="ar-SA"/>
      </w:rPr>
    </w:lvl>
    <w:lvl w:ilvl="8" w:tplc="781E8950">
      <w:numFmt w:val="bullet"/>
      <w:lvlText w:val="•"/>
      <w:lvlJc w:val="left"/>
      <w:pPr>
        <w:ind w:left="7788" w:hanging="720"/>
      </w:pPr>
      <w:rPr>
        <w:rFonts w:hint="default"/>
        <w:lang w:val="bg-BG" w:eastAsia="en-US" w:bidi="ar-SA"/>
      </w:rPr>
    </w:lvl>
  </w:abstractNum>
  <w:abstractNum w:abstractNumId="1" w15:restartNumberingAfterBreak="0">
    <w:nsid w:val="313915C8"/>
    <w:multiLevelType w:val="hybridMultilevel"/>
    <w:tmpl w:val="BD8C527E"/>
    <w:lvl w:ilvl="0" w:tplc="27868A22">
      <w:start w:val="1"/>
      <w:numFmt w:val="decimal"/>
      <w:lvlText w:val="%1."/>
      <w:lvlJc w:val="left"/>
      <w:pPr>
        <w:ind w:left="67" w:hanging="6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32"/>
        <w:szCs w:val="32"/>
        <w:lang w:val="bg-BG" w:eastAsia="en-US" w:bidi="ar-SA"/>
      </w:rPr>
    </w:lvl>
    <w:lvl w:ilvl="1" w:tplc="B602107A">
      <w:numFmt w:val="bullet"/>
      <w:lvlText w:val="•"/>
      <w:lvlJc w:val="left"/>
      <w:pPr>
        <w:ind w:left="1026" w:hanging="630"/>
      </w:pPr>
      <w:rPr>
        <w:rFonts w:hint="default"/>
        <w:lang w:val="bg-BG" w:eastAsia="en-US" w:bidi="ar-SA"/>
      </w:rPr>
    </w:lvl>
    <w:lvl w:ilvl="2" w:tplc="6694D166">
      <w:numFmt w:val="bullet"/>
      <w:lvlText w:val="•"/>
      <w:lvlJc w:val="left"/>
      <w:pPr>
        <w:ind w:left="1992" w:hanging="630"/>
      </w:pPr>
      <w:rPr>
        <w:rFonts w:hint="default"/>
        <w:lang w:val="bg-BG" w:eastAsia="en-US" w:bidi="ar-SA"/>
      </w:rPr>
    </w:lvl>
    <w:lvl w:ilvl="3" w:tplc="C728DD38">
      <w:numFmt w:val="bullet"/>
      <w:lvlText w:val="•"/>
      <w:lvlJc w:val="left"/>
      <w:pPr>
        <w:ind w:left="2958" w:hanging="630"/>
      </w:pPr>
      <w:rPr>
        <w:rFonts w:hint="default"/>
        <w:lang w:val="bg-BG" w:eastAsia="en-US" w:bidi="ar-SA"/>
      </w:rPr>
    </w:lvl>
    <w:lvl w:ilvl="4" w:tplc="4C188C40">
      <w:numFmt w:val="bullet"/>
      <w:lvlText w:val="•"/>
      <w:lvlJc w:val="left"/>
      <w:pPr>
        <w:ind w:left="3924" w:hanging="630"/>
      </w:pPr>
      <w:rPr>
        <w:rFonts w:hint="default"/>
        <w:lang w:val="bg-BG" w:eastAsia="en-US" w:bidi="ar-SA"/>
      </w:rPr>
    </w:lvl>
    <w:lvl w:ilvl="5" w:tplc="01DE04D6">
      <w:numFmt w:val="bullet"/>
      <w:lvlText w:val="•"/>
      <w:lvlJc w:val="left"/>
      <w:pPr>
        <w:ind w:left="4890" w:hanging="630"/>
      </w:pPr>
      <w:rPr>
        <w:rFonts w:hint="default"/>
        <w:lang w:val="bg-BG" w:eastAsia="en-US" w:bidi="ar-SA"/>
      </w:rPr>
    </w:lvl>
    <w:lvl w:ilvl="6" w:tplc="CAEE8046">
      <w:numFmt w:val="bullet"/>
      <w:lvlText w:val="•"/>
      <w:lvlJc w:val="left"/>
      <w:pPr>
        <w:ind w:left="5856" w:hanging="630"/>
      </w:pPr>
      <w:rPr>
        <w:rFonts w:hint="default"/>
        <w:lang w:val="bg-BG" w:eastAsia="en-US" w:bidi="ar-SA"/>
      </w:rPr>
    </w:lvl>
    <w:lvl w:ilvl="7" w:tplc="933CEB1C">
      <w:numFmt w:val="bullet"/>
      <w:lvlText w:val="•"/>
      <w:lvlJc w:val="left"/>
      <w:pPr>
        <w:ind w:left="6822" w:hanging="630"/>
      </w:pPr>
      <w:rPr>
        <w:rFonts w:hint="default"/>
        <w:lang w:val="bg-BG" w:eastAsia="en-US" w:bidi="ar-SA"/>
      </w:rPr>
    </w:lvl>
    <w:lvl w:ilvl="8" w:tplc="5668416E">
      <w:numFmt w:val="bullet"/>
      <w:lvlText w:val="•"/>
      <w:lvlJc w:val="left"/>
      <w:pPr>
        <w:ind w:left="7788" w:hanging="630"/>
      </w:pPr>
      <w:rPr>
        <w:rFonts w:hint="default"/>
        <w:lang w:val="bg-BG" w:eastAsia="en-US" w:bidi="ar-SA"/>
      </w:rPr>
    </w:lvl>
  </w:abstractNum>
  <w:abstractNum w:abstractNumId="2" w15:restartNumberingAfterBreak="0">
    <w:nsid w:val="464D4993"/>
    <w:multiLevelType w:val="hybridMultilevel"/>
    <w:tmpl w:val="A8402814"/>
    <w:lvl w:ilvl="0" w:tplc="01FC6A32">
      <w:start w:val="1"/>
      <w:numFmt w:val="decimal"/>
      <w:lvlText w:val="%1."/>
      <w:lvlJc w:val="left"/>
      <w:pPr>
        <w:ind w:left="67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32"/>
        <w:szCs w:val="32"/>
        <w:lang w:val="bg-BG" w:eastAsia="en-US" w:bidi="ar-SA"/>
      </w:rPr>
    </w:lvl>
    <w:lvl w:ilvl="1" w:tplc="8D0C72B8">
      <w:numFmt w:val="bullet"/>
      <w:lvlText w:val="•"/>
      <w:lvlJc w:val="left"/>
      <w:pPr>
        <w:ind w:left="1026" w:hanging="720"/>
      </w:pPr>
      <w:rPr>
        <w:rFonts w:hint="default"/>
        <w:lang w:val="bg-BG" w:eastAsia="en-US" w:bidi="ar-SA"/>
      </w:rPr>
    </w:lvl>
    <w:lvl w:ilvl="2" w:tplc="8DC08E72">
      <w:numFmt w:val="bullet"/>
      <w:lvlText w:val="•"/>
      <w:lvlJc w:val="left"/>
      <w:pPr>
        <w:ind w:left="1992" w:hanging="720"/>
      </w:pPr>
      <w:rPr>
        <w:rFonts w:hint="default"/>
        <w:lang w:val="bg-BG" w:eastAsia="en-US" w:bidi="ar-SA"/>
      </w:rPr>
    </w:lvl>
    <w:lvl w:ilvl="3" w:tplc="196ED1DA">
      <w:numFmt w:val="bullet"/>
      <w:lvlText w:val="•"/>
      <w:lvlJc w:val="left"/>
      <w:pPr>
        <w:ind w:left="2958" w:hanging="720"/>
      </w:pPr>
      <w:rPr>
        <w:rFonts w:hint="default"/>
        <w:lang w:val="bg-BG" w:eastAsia="en-US" w:bidi="ar-SA"/>
      </w:rPr>
    </w:lvl>
    <w:lvl w:ilvl="4" w:tplc="44F25B9A">
      <w:numFmt w:val="bullet"/>
      <w:lvlText w:val="•"/>
      <w:lvlJc w:val="left"/>
      <w:pPr>
        <w:ind w:left="3924" w:hanging="720"/>
      </w:pPr>
      <w:rPr>
        <w:rFonts w:hint="default"/>
        <w:lang w:val="bg-BG" w:eastAsia="en-US" w:bidi="ar-SA"/>
      </w:rPr>
    </w:lvl>
    <w:lvl w:ilvl="5" w:tplc="943AFF76">
      <w:numFmt w:val="bullet"/>
      <w:lvlText w:val="•"/>
      <w:lvlJc w:val="left"/>
      <w:pPr>
        <w:ind w:left="4890" w:hanging="720"/>
      </w:pPr>
      <w:rPr>
        <w:rFonts w:hint="default"/>
        <w:lang w:val="bg-BG" w:eastAsia="en-US" w:bidi="ar-SA"/>
      </w:rPr>
    </w:lvl>
    <w:lvl w:ilvl="6" w:tplc="1BD045A6">
      <w:numFmt w:val="bullet"/>
      <w:lvlText w:val="•"/>
      <w:lvlJc w:val="left"/>
      <w:pPr>
        <w:ind w:left="5856" w:hanging="720"/>
      </w:pPr>
      <w:rPr>
        <w:rFonts w:hint="default"/>
        <w:lang w:val="bg-BG" w:eastAsia="en-US" w:bidi="ar-SA"/>
      </w:rPr>
    </w:lvl>
    <w:lvl w:ilvl="7" w:tplc="6346E380">
      <w:numFmt w:val="bullet"/>
      <w:lvlText w:val="•"/>
      <w:lvlJc w:val="left"/>
      <w:pPr>
        <w:ind w:left="6822" w:hanging="720"/>
      </w:pPr>
      <w:rPr>
        <w:rFonts w:hint="default"/>
        <w:lang w:val="bg-BG" w:eastAsia="en-US" w:bidi="ar-SA"/>
      </w:rPr>
    </w:lvl>
    <w:lvl w:ilvl="8" w:tplc="3424C53C">
      <w:numFmt w:val="bullet"/>
      <w:lvlText w:val="•"/>
      <w:lvlJc w:val="left"/>
      <w:pPr>
        <w:ind w:left="7788" w:hanging="720"/>
      </w:pPr>
      <w:rPr>
        <w:rFonts w:hint="default"/>
        <w:lang w:val="bg-BG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1F0"/>
    <w:rsid w:val="009731F0"/>
    <w:rsid w:val="00AB0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42117"/>
  <w15:docId w15:val="{453E649D-3979-41E5-B214-261950AA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9"/>
    <w:qFormat/>
    <w:pPr>
      <w:ind w:left="45"/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6"/>
      <w:jc w:val="both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6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Д-р Диляна Василева</dc:creator>
  <cp:lastModifiedBy>Д-р Диляна Василева</cp:lastModifiedBy>
  <cp:revision>2</cp:revision>
  <dcterms:created xsi:type="dcterms:W3CDTF">2026-07-14T07:29:00Z</dcterms:created>
  <dcterms:modified xsi:type="dcterms:W3CDTF">2026-07-14T07:29:00Z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2026-07-14T00:00:00Z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2026-07-14T00:00:00Z</vt:filetime>
  </property>
</Properties>
</file>